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669417D1"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Various</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4872F05B"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Young people and families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41268137"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F71C20">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F71C20">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the social work service is fully integrated within the wider Children’s services in order to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operate</w:t>
            </w:r>
            <w:r w:rsidRPr="00A006F9">
              <w:rPr>
                <w:rFonts w:ascii="Arial" w:hAnsi="Arial" w:cs="Arial"/>
                <w:sz w:val="22"/>
                <w:szCs w:val="22"/>
              </w:rPr>
              <w:t xml:space="preserve"> at all times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so as to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BIA, AMHP or other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71B3B060"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r w:rsidR="00E87214" w:rsidRPr="006F09E7">
              <w:rPr>
                <w:rFonts w:ascii="Arial" w:hAnsi="Arial" w:cs="Arial"/>
                <w:sz w:val="22"/>
                <w:szCs w:val="22"/>
              </w:rPr>
              <w:t>high performance</w:t>
            </w:r>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3A582070" w:rsidR="003D67A8" w:rsidRPr="003D67A8" w:rsidRDefault="002108C1"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November</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on a daily basis.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F396" w14:textId="77777777" w:rsidR="00C40379" w:rsidRDefault="00C40379">
      <w:r>
        <w:separator/>
      </w:r>
    </w:p>
  </w:endnote>
  <w:endnote w:type="continuationSeparator" w:id="0">
    <w:p w14:paraId="09574301" w14:textId="77777777" w:rsidR="00C40379" w:rsidRDefault="00C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B411" w14:textId="034058D6" w:rsidR="008566B7" w:rsidRPr="00796BBA" w:rsidRDefault="0047778A" w:rsidP="00796BBA">
    <w:pPr>
      <w:pStyle w:val="Footer"/>
      <w:ind w:left="-709"/>
      <w:rPr>
        <w:rFonts w:ascii="Arial" w:hAnsi="Arial" w:cs="Arial"/>
        <w:sz w:val="22"/>
      </w:rPr>
    </w:pPr>
    <w:bookmarkStart w:id="0" w:name="_Hlk178666760"/>
    <w:r>
      <w:rPr>
        <w:rFonts w:ascii="Arial" w:hAnsi="Arial" w:cs="Arial"/>
        <w:sz w:val="22"/>
      </w:rPr>
      <w:t>T</w:t>
    </w:r>
    <w:r w:rsidR="001975D4">
      <w:rPr>
        <w:rFonts w:ascii="Arial" w:hAnsi="Arial" w:cs="Arial"/>
        <w:sz w:val="22"/>
      </w:rPr>
      <w:t>P/179/936 T</w:t>
    </w:r>
    <w:r>
      <w:rPr>
        <w:rFonts w:ascii="Arial" w:hAnsi="Arial" w:cs="Arial"/>
        <w:sz w:val="22"/>
      </w:rPr>
      <w:t>eam Manager</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FF56" w14:textId="77777777" w:rsidR="00C40379" w:rsidRDefault="00C40379">
      <w:r>
        <w:separator/>
      </w:r>
    </w:p>
  </w:footnote>
  <w:footnote w:type="continuationSeparator" w:id="0">
    <w:p w14:paraId="53CD3D97" w14:textId="77777777" w:rsidR="00C40379" w:rsidRDefault="00C40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716A1"/>
    <w:rsid w:val="00072177"/>
    <w:rsid w:val="00073B50"/>
    <w:rsid w:val="0008045A"/>
    <w:rsid w:val="00084FA5"/>
    <w:rsid w:val="0008638E"/>
    <w:rsid w:val="0008717F"/>
    <w:rsid w:val="0009161F"/>
    <w:rsid w:val="00091661"/>
    <w:rsid w:val="00095D1C"/>
    <w:rsid w:val="000A33FC"/>
    <w:rsid w:val="000B491D"/>
    <w:rsid w:val="000D00C6"/>
    <w:rsid w:val="000E4BC0"/>
    <w:rsid w:val="000E5A85"/>
    <w:rsid w:val="000E6844"/>
    <w:rsid w:val="000F4B8C"/>
    <w:rsid w:val="00104470"/>
    <w:rsid w:val="001218EC"/>
    <w:rsid w:val="00122918"/>
    <w:rsid w:val="00122CD2"/>
    <w:rsid w:val="001233F1"/>
    <w:rsid w:val="00130019"/>
    <w:rsid w:val="00131F69"/>
    <w:rsid w:val="00132108"/>
    <w:rsid w:val="00135EEC"/>
    <w:rsid w:val="00151D50"/>
    <w:rsid w:val="001607D4"/>
    <w:rsid w:val="00161A27"/>
    <w:rsid w:val="00161B2C"/>
    <w:rsid w:val="00183AD0"/>
    <w:rsid w:val="00183F01"/>
    <w:rsid w:val="001975D4"/>
    <w:rsid w:val="001A55A0"/>
    <w:rsid w:val="001A6D4B"/>
    <w:rsid w:val="001B7C5E"/>
    <w:rsid w:val="001C70BA"/>
    <w:rsid w:val="001D728A"/>
    <w:rsid w:val="001E043C"/>
    <w:rsid w:val="001E19C0"/>
    <w:rsid w:val="001E31AF"/>
    <w:rsid w:val="001F0147"/>
    <w:rsid w:val="002065F7"/>
    <w:rsid w:val="002108C1"/>
    <w:rsid w:val="0021208A"/>
    <w:rsid w:val="0021551A"/>
    <w:rsid w:val="0021747E"/>
    <w:rsid w:val="00222F17"/>
    <w:rsid w:val="0022430B"/>
    <w:rsid w:val="002355C4"/>
    <w:rsid w:val="002377AC"/>
    <w:rsid w:val="002416BE"/>
    <w:rsid w:val="00243EA0"/>
    <w:rsid w:val="00253D5B"/>
    <w:rsid w:val="0026562E"/>
    <w:rsid w:val="00274D17"/>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100EA"/>
    <w:rsid w:val="00310C73"/>
    <w:rsid w:val="00311785"/>
    <w:rsid w:val="0032143F"/>
    <w:rsid w:val="0033617F"/>
    <w:rsid w:val="00337027"/>
    <w:rsid w:val="00337BB8"/>
    <w:rsid w:val="00337DD6"/>
    <w:rsid w:val="00341DB3"/>
    <w:rsid w:val="00346274"/>
    <w:rsid w:val="00353079"/>
    <w:rsid w:val="0035333C"/>
    <w:rsid w:val="00360F2D"/>
    <w:rsid w:val="00373444"/>
    <w:rsid w:val="0037552A"/>
    <w:rsid w:val="003935E8"/>
    <w:rsid w:val="003A2C5D"/>
    <w:rsid w:val="003A798A"/>
    <w:rsid w:val="003B4B70"/>
    <w:rsid w:val="003C1565"/>
    <w:rsid w:val="003C218B"/>
    <w:rsid w:val="003C25B5"/>
    <w:rsid w:val="003C376D"/>
    <w:rsid w:val="003C58FE"/>
    <w:rsid w:val="003C7FBA"/>
    <w:rsid w:val="003D1454"/>
    <w:rsid w:val="003D5F44"/>
    <w:rsid w:val="003D67A8"/>
    <w:rsid w:val="003E0F30"/>
    <w:rsid w:val="003E21A0"/>
    <w:rsid w:val="003E369A"/>
    <w:rsid w:val="003E4568"/>
    <w:rsid w:val="003F0A84"/>
    <w:rsid w:val="003F7143"/>
    <w:rsid w:val="003F752A"/>
    <w:rsid w:val="004070B2"/>
    <w:rsid w:val="00415A3F"/>
    <w:rsid w:val="00415C5B"/>
    <w:rsid w:val="00416299"/>
    <w:rsid w:val="00431565"/>
    <w:rsid w:val="00431E9C"/>
    <w:rsid w:val="004327E2"/>
    <w:rsid w:val="004329A5"/>
    <w:rsid w:val="00432A72"/>
    <w:rsid w:val="00434A7D"/>
    <w:rsid w:val="00447510"/>
    <w:rsid w:val="00450732"/>
    <w:rsid w:val="004519AA"/>
    <w:rsid w:val="00452C8D"/>
    <w:rsid w:val="0045554B"/>
    <w:rsid w:val="004707C6"/>
    <w:rsid w:val="0047778A"/>
    <w:rsid w:val="00477F15"/>
    <w:rsid w:val="0048211E"/>
    <w:rsid w:val="00484939"/>
    <w:rsid w:val="00486AAE"/>
    <w:rsid w:val="0048760E"/>
    <w:rsid w:val="0049502B"/>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391A"/>
    <w:rsid w:val="00606310"/>
    <w:rsid w:val="0061000D"/>
    <w:rsid w:val="00611BE1"/>
    <w:rsid w:val="00614466"/>
    <w:rsid w:val="0061543F"/>
    <w:rsid w:val="006158E2"/>
    <w:rsid w:val="006320CF"/>
    <w:rsid w:val="00643424"/>
    <w:rsid w:val="00654D91"/>
    <w:rsid w:val="00655184"/>
    <w:rsid w:val="00655812"/>
    <w:rsid w:val="00661977"/>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71C1F"/>
    <w:rsid w:val="008904C0"/>
    <w:rsid w:val="00894BE0"/>
    <w:rsid w:val="008A2A14"/>
    <w:rsid w:val="008A710E"/>
    <w:rsid w:val="008A7F27"/>
    <w:rsid w:val="008B58FC"/>
    <w:rsid w:val="008D0858"/>
    <w:rsid w:val="008D1403"/>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50634"/>
    <w:rsid w:val="00955AC5"/>
    <w:rsid w:val="009562E5"/>
    <w:rsid w:val="009618D9"/>
    <w:rsid w:val="00993120"/>
    <w:rsid w:val="00996DA5"/>
    <w:rsid w:val="009A0F9D"/>
    <w:rsid w:val="009B199A"/>
    <w:rsid w:val="009C1604"/>
    <w:rsid w:val="009C1F71"/>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55104"/>
    <w:rsid w:val="00A66A02"/>
    <w:rsid w:val="00A711B5"/>
    <w:rsid w:val="00A81A06"/>
    <w:rsid w:val="00A84E0B"/>
    <w:rsid w:val="00A854B7"/>
    <w:rsid w:val="00A864FC"/>
    <w:rsid w:val="00A87930"/>
    <w:rsid w:val="00A9611C"/>
    <w:rsid w:val="00AA1513"/>
    <w:rsid w:val="00AA4049"/>
    <w:rsid w:val="00AA712E"/>
    <w:rsid w:val="00AA764C"/>
    <w:rsid w:val="00AB0724"/>
    <w:rsid w:val="00AB37B0"/>
    <w:rsid w:val="00AB3D77"/>
    <w:rsid w:val="00AB5AB5"/>
    <w:rsid w:val="00AB6E8A"/>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64F5"/>
    <w:rsid w:val="00BF5112"/>
    <w:rsid w:val="00BF70F2"/>
    <w:rsid w:val="00C248B1"/>
    <w:rsid w:val="00C26745"/>
    <w:rsid w:val="00C40379"/>
    <w:rsid w:val="00C42580"/>
    <w:rsid w:val="00C46894"/>
    <w:rsid w:val="00C50A85"/>
    <w:rsid w:val="00C54232"/>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44D2"/>
    <w:rsid w:val="00E45E22"/>
    <w:rsid w:val="00E5660C"/>
    <w:rsid w:val="00E573E2"/>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71C20"/>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661977"/>
    <w:rsid w:val="0082347F"/>
    <w:rsid w:val="00A000C5"/>
    <w:rsid w:val="00A4541F"/>
    <w:rsid w:val="00A55104"/>
    <w:rsid w:val="00A907C7"/>
    <w:rsid w:val="00B11428"/>
    <w:rsid w:val="00BD57B7"/>
    <w:rsid w:val="00C42580"/>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5FD17-6D03-4A76-9B65-4E6AF165013E}">
  <ds:schemaRefs>
    <ds:schemaRef ds:uri="http://schemas.microsoft.com/sharepoint/v3/contenttype/forms"/>
  </ds:schemaRefs>
</ds:datastoreItem>
</file>

<file path=customXml/itemProps3.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2194</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Vicky Britton (Solihull MBC)</cp:lastModifiedBy>
  <cp:revision>6</cp:revision>
  <cp:lastPrinted>2017-11-28T14:21:00Z</cp:lastPrinted>
  <dcterms:created xsi:type="dcterms:W3CDTF">2024-10-01T08:19:00Z</dcterms:created>
  <dcterms:modified xsi:type="dcterms:W3CDTF">2024-11-25T13:32:00Z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